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color w:val="0F243E" w:themeColor="text2" w:themeShade="80"/>
          <w:sz w:val="32"/>
          <w:szCs w:val="32"/>
        </w:rPr>
      </w:pPr>
      <w:r>
        <w:rPr>
          <w:rFonts w:cs="Times New Roman" w:ascii="Times New Roman" w:hAnsi="Times New Roman"/>
          <w:b/>
          <w:color w:val="0F243E" w:themeColor="text2" w:themeShade="80"/>
          <w:sz w:val="32"/>
          <w:szCs w:val="32"/>
        </w:rPr>
        <w:t>Предоставление субсидий на оплату жилья и коммунальных услуг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4"/>
        <w:tblW w:w="51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"/>
        <w:gridCol w:w="4659"/>
        <w:gridCol w:w="270"/>
      </w:tblGrid>
      <w:tr>
        <w:trPr>
          <w:trHeight w:val="1102" w:hRule="atLeast"/>
        </w:trPr>
        <w:tc>
          <w:tcPr>
            <w:tcW w:w="2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65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Субсидия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 – это государственная социальная помощь, предоставляемая гражданам в качестве помощи для оплаты жилья и коммунальных услуг.</w:t>
            </w:r>
          </w:p>
        </w:tc>
        <w:tc>
          <w:tcPr>
            <w:tcW w:w="27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17365D" w:themeColor="text2" w:themeShade="bf"/>
          <w:sz w:val="28"/>
          <w:szCs w:val="28"/>
        </w:rPr>
      </w:pPr>
      <w:r>
        <w:rPr>
          <w:rFonts w:cs="Times New Roman" w:ascii="Times New Roman" w:hAnsi="Times New Roman"/>
          <w:b/>
          <w:color w:val="17365D" w:themeColor="text2" w:themeShade="bf"/>
          <w:sz w:val="28"/>
          <w:szCs w:val="28"/>
        </w:rPr>
        <w:t>Право на субсидию имеют: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пользователи жилого помещения в государственном или муниципальном жилищном фонде;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члены жилищного или жилищно-строительного кооператива;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собственники жилого помещения (квартиры, жилого дома, части квартиры или жилого дома);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наниматели жилого помещения по договору найма в частном жилищном фонде.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10"/>
          <w:szCs w:val="10"/>
        </w:rPr>
      </w:pPr>
      <w:r>
        <w:rPr>
          <w:rFonts w:cs="Times New Roman" w:ascii="Times New Roman" w:hAnsi="Times New Roman"/>
          <w:b/>
          <w:i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17365D" w:themeColor="text2" w:themeShade="bf"/>
          <w:sz w:val="28"/>
          <w:szCs w:val="28"/>
        </w:rPr>
      </w:pPr>
      <w:r>
        <w:rPr>
          <w:rFonts w:cs="Times New Roman" w:ascii="Times New Roman" w:hAnsi="Times New Roman"/>
          <w:b/>
          <w:color w:val="17365D" w:themeColor="text2" w:themeShade="bf"/>
          <w:sz w:val="28"/>
          <w:szCs w:val="28"/>
        </w:rPr>
        <w:t>Необходимые документы:</w:t>
      </w:r>
    </w:p>
    <w:p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жительства;</w:t>
      </w:r>
    </w:p>
    <w:p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Копии документов, подтверждающих право заявителя и членов его семьи на льготы или компенсации по оплате жилья и коммунальных услуг; </w:t>
      </w:r>
    </w:p>
    <w:p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Копии документов, удостоверяющие гражданство РФ заявителя и членов его семьи;</w:t>
      </w:r>
    </w:p>
    <w:p>
      <w:pPr>
        <w:pStyle w:val="ListParagraph"/>
        <w:numPr>
          <w:ilvl w:val="0"/>
          <w:numId w:val="0"/>
        </w:numPr>
        <w:ind w:left="36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36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ПЛАТЕЖНЫЕ ДОКУМЕНТЫ (квитанции)</w:t>
      </w:r>
      <w:r>
        <w:rPr>
          <w:rFonts w:cs="Times New Roman" w:ascii="Times New Roman" w:hAnsi="Times New Roman"/>
          <w:sz w:val="20"/>
          <w:szCs w:val="20"/>
        </w:rPr>
        <w:t xml:space="preserve"> , содержащие сведения о суммах платежей за жилье и коммунальные услуги;</w:t>
      </w:r>
    </w:p>
    <w:p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СПРАВКИ, подтверждающие доходы заявителя и всех членов семьи;</w:t>
      </w:r>
    </w:p>
    <w:p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Исчисление совокупного дохода семьи и одиноко проживающего гражданина определяется за 6 последних календарных  месяцев, предшествующих месяцу подачи заявления о предоставлении субсидии.</w:t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/>
          <w:color w:val="000000" w:themeColor="text1"/>
          <w:sz w:val="10"/>
          <w:szCs w:val="1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10"/>
          <w:szCs w:val="10"/>
          <w:lang w:eastAsia="ru-RU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F243E" w:themeColor="text2" w:themeShade="8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F243E" w:themeColor="text2" w:themeShade="8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F243E" w:themeColor="text2" w:themeShade="8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F243E" w:themeColor="text2" w:themeShade="8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F243E" w:themeColor="text2" w:themeShade="8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F243E" w:themeColor="text2" w:themeShade="8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F243E" w:themeColor="text2" w:themeShade="8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F243E" w:themeColor="text2" w:themeShade="80"/>
          <w:sz w:val="28"/>
          <w:szCs w:val="28"/>
          <w:lang w:eastAsia="ru-RU"/>
        </w:rPr>
        <w:t>Условия предоставления субсидий:</w:t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00000" w:themeColor="text1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lang w:eastAsia="ru-RU"/>
        </w:rPr>
      </w:r>
    </w:p>
    <w:p>
      <w:pPr>
        <w:pStyle w:val="ListParagraph"/>
        <w:spacing w:lineRule="auto" w:line="240" w:before="0" w:after="0"/>
        <w:ind w:left="142" w:firstLine="567"/>
        <w:contextualSpacing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0"/>
          <w:szCs w:val="20"/>
          <w:lang w:eastAsia="ru-RU"/>
        </w:rPr>
        <w:t>Субсидия предоставляется гражданам</w:t>
      </w: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  <w:t>, если их расходы на оплату  жилого помещения и коммунальных услуг,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жилищно-коммунальных услуг превышают величину соответствующую максимально-допустимой доле расходов граждан на оплату жилого помещения и коммунальных услуг в совокупном доходе семьи.</w:t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/>
          <w:color w:val="000000" w:themeColor="text1"/>
          <w:sz w:val="10"/>
          <w:szCs w:val="1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10"/>
          <w:szCs w:val="10"/>
          <w:lang w:eastAsia="ru-RU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F243E" w:themeColor="text2" w:themeShade="8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F243E" w:themeColor="text2" w:themeShade="80"/>
          <w:sz w:val="28"/>
          <w:szCs w:val="28"/>
          <w:lang w:eastAsia="ru-RU"/>
        </w:rPr>
        <w:t>Также стоит помнить: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1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  <w:t>При предоставлении заявителем документов с 1 по 15 число месяца субсидия предоставляется с 1 числа этого месяца, а при предоставлении с 16 числа по 24 число месяца – с 1 числа следующего месяца. В течение 10 дней с момента подачи документов служба принимает решение о предоставлении субсидии или об отказе в ее предоставлении.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1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center"/>
        <w:rPr>
          <w:rFonts w:ascii="Times New Roman" w:hAnsi="Times New Roman" w:eastAsia="Times New Roman"/>
          <w:b/>
          <w:b/>
          <w:color w:val="0F243E" w:themeColor="text2" w:themeShade="8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F243E" w:themeColor="text2" w:themeShade="80"/>
          <w:sz w:val="28"/>
          <w:szCs w:val="28"/>
          <w:lang w:eastAsia="ru-RU"/>
        </w:rPr>
        <w:t>Способы подачи заявлений</w:t>
      </w:r>
      <w:r>
        <w:rPr>
          <w:rFonts w:eastAsia="Times New Roman" w:cs="Times New Roman" w:ascii="Times New Roman" w:hAnsi="Times New Roman"/>
          <w:b/>
          <w:i/>
          <w:color w:val="0F243E" w:themeColor="text2" w:themeShade="8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left="142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F243E" w:themeColor="text2" w:themeShade="80"/>
          <w:sz w:val="14"/>
          <w:szCs w:val="1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F243E" w:themeColor="text2" w:themeShade="80"/>
          <w:sz w:val="22"/>
          <w:szCs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2"/>
          <w:szCs w:val="22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>.  В службу жилищных субсидий (по предварительной записи) по т.:(34350)40443</w:t>
      </w:r>
    </w:p>
    <w:p>
      <w:pPr>
        <w:pStyle w:val="Normal"/>
        <w:spacing w:lineRule="auto" w:line="240" w:before="0" w:after="0"/>
        <w:ind w:left="142" w:hanging="0"/>
        <w:contextualSpacing/>
        <w:jc w:val="left"/>
        <w:rPr>
          <w:rFonts w:ascii="Bookman Old Style" w:hAnsi="Bookman Old Style" w:cs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left="142" w:hanging="0"/>
        <w:contextualSpacing/>
        <w:jc w:val="left"/>
        <w:rPr>
          <w:rFonts w:ascii="Bookman Old Style" w:hAnsi="Bookman Old Style" w:cs="Times New Roman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>2.  ЕПГУ https: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55269" w:themeShade="80"/>
          <w:sz w:val="21"/>
          <w:szCs w:val="21"/>
          <w:lang w:eastAsia="ru-RU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A6099" w:themeShade="80"/>
          <w:sz w:val="21"/>
          <w:szCs w:val="21"/>
          <w:u w:val="single"/>
          <w:shd w:fill="auto" w:val="clear"/>
          <w:lang w:eastAsia="ru-RU"/>
        </w:rPr>
        <w:t>/www.gosuslugi.ru/25735/1/info</w:t>
      </w:r>
    </w:p>
    <w:p>
      <w:pPr>
        <w:pStyle w:val="Normal"/>
        <w:spacing w:lineRule="auto" w:line="240" w:before="0" w:after="0"/>
        <w:ind w:left="142" w:hanging="0"/>
        <w:contextualSpacing/>
        <w:jc w:val="left"/>
        <w:rPr>
          <w:rFonts w:ascii="Bookman Old Style" w:hAnsi="Bookman Old Style" w:cs="Times New Roman"/>
          <w:b w:val="false"/>
          <w:b w:val="false"/>
          <w:i w:val="false"/>
          <w:i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Единый портал государтсвенных услуг </w:t>
      </w:r>
    </w:p>
    <w:p>
      <w:pPr>
        <w:pStyle w:val="Normal"/>
        <w:spacing w:lineRule="auto" w:line="240" w:before="0" w:after="0"/>
        <w:ind w:left="142" w:hanging="0"/>
        <w:contextualSpacing/>
        <w:jc w:val="left"/>
        <w:rPr>
          <w:rFonts w:ascii="Bookman Old Style" w:hAnsi="Bookman Old Style" w:cs="Times New Roman"/>
          <w:b w:val="false"/>
          <w:b w:val="false"/>
          <w:i w:val="false"/>
          <w:i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left="142" w:hanging="0"/>
        <w:contextualSpacing/>
        <w:jc w:val="left"/>
        <w:rPr>
          <w:rFonts w:ascii="Bookman Old Style" w:hAnsi="Bookman Old Style" w:cs="Times New Roman"/>
          <w:b w:val="false"/>
          <w:b w:val="false"/>
          <w:i w:val="false"/>
          <w:i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3.  В  многофункциональный центр «Мои документы»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>по телефону 8(800)700-00-04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>ли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официальн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сайт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F243E" w:themeColor="text2" w:themeShade="80"/>
          <w:sz w:val="21"/>
          <w:szCs w:val="21"/>
          <w:lang w:eastAsia="ru-RU"/>
        </w:rPr>
        <w:t xml:space="preserve"> ГБУ СО «МФЦ»          </w:t>
      </w:r>
      <w:hyperlink r:id="rId2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1"/>
            <w:szCs w:val="21"/>
            <w:lang w:val="en-US" w:eastAsia="ru-RU"/>
          </w:rPr>
          <w:t>https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1"/>
            <w:szCs w:val="21"/>
            <w:lang w:eastAsia="ru-RU"/>
          </w:rPr>
          <w:t>://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1"/>
            <w:szCs w:val="21"/>
            <w:lang w:val="en-US" w:eastAsia="ru-RU"/>
          </w:rPr>
          <w:t>mfc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1"/>
            <w:szCs w:val="21"/>
            <w:lang w:eastAsia="ru-RU"/>
          </w:rPr>
          <w:t>66/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1"/>
            <w:szCs w:val="21"/>
            <w:lang w:val="en-US" w:eastAsia="ru-RU"/>
          </w:rPr>
          <w:t>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1"/>
            <w:szCs w:val="21"/>
            <w:lang w:eastAsia="ru-RU"/>
          </w:rPr>
          <w:t>/</w:t>
        </w:r>
      </w:hyperlink>
    </w:p>
    <w:p>
      <w:pPr>
        <w:pStyle w:val="Normal"/>
        <w:spacing w:lineRule="auto" w:line="240" w:before="0" w:after="0"/>
        <w:ind w:hanging="0"/>
        <w:contextualSpacing/>
        <w:jc w:val="left"/>
        <w:rPr>
          <w:rFonts w:ascii="Bookman Old Style" w:hAnsi="Bookman Old Style" w:cs="Times New Roman"/>
          <w:b/>
          <w:b/>
          <w:i/>
          <w:i/>
          <w:sz w:val="22"/>
          <w:szCs w:val="22"/>
        </w:rPr>
      </w:pPr>
      <w:r>
        <w:rPr>
          <w:rFonts w:cs="Times New Roman" w:ascii="Bookman Old Style" w:hAnsi="Bookman Old Style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man Old Style" w:hAnsi="Bookman Old Style" w:cs="Times New Roman"/>
          <w:b/>
          <w:b/>
          <w:i/>
          <w:i/>
          <w:sz w:val="20"/>
          <w:szCs w:val="20"/>
        </w:rPr>
      </w:pPr>
      <w:r>
        <w:rPr>
          <w:rFonts w:cs="Times New Roman" w:ascii="Bookman Old Style" w:hAnsi="Bookman Old Style"/>
          <w:b/>
          <w:i/>
          <w:sz w:val="20"/>
          <w:szCs w:val="20"/>
        </w:rPr>
      </w:r>
    </w:p>
    <w:p>
      <w:pPr>
        <w:pStyle w:val="ConsPlusNormal"/>
        <w:ind w:firstLine="540"/>
        <w:jc w:val="center"/>
        <w:rPr>
          <w:rFonts w:ascii="Times New Roman" w:hAnsi="Times New Roman" w:eastAsia="Calibri" w:cs="Times New Roman" w:eastAsiaTheme="minorHAnsi"/>
          <w:b/>
          <w:b/>
          <w:color w:val="002060"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color w:val="002060"/>
          <w:sz w:val="32"/>
          <w:szCs w:val="32"/>
          <w:lang w:eastAsia="en-US"/>
        </w:rPr>
      </w:r>
    </w:p>
    <w:p>
      <w:pPr>
        <w:pStyle w:val="ConsPlusNormal"/>
        <w:spacing w:before="480" w:after="0"/>
        <w:ind w:hanging="0"/>
        <w:jc w:val="center"/>
        <w:rPr>
          <w:rFonts w:ascii="Times New Roman" w:hAnsi="Times New Roman" w:eastAsia="Calibri" w:cs="Times New Roman" w:eastAsiaTheme="minorHAnsi"/>
          <w:b/>
          <w:b/>
          <w:color w:val="0F243E" w:themeColor="text2" w:themeShade="80"/>
          <w:sz w:val="32"/>
          <w:szCs w:val="32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0F243E" w:themeColor="text2" w:themeShade="80"/>
          <w:kern w:val="0"/>
          <w:sz w:val="24"/>
          <w:szCs w:val="24"/>
          <w:lang w:val="ru-RU" w:eastAsia="en-US" w:bidi="ar-SA"/>
        </w:rPr>
        <w:t>При расчете применяется МДДР</w:t>
      </w:r>
      <w:r>
        <w:rPr>
          <w:rFonts w:eastAsia="Calibri" w:cs="Times New Roman" w:ascii="Times New Roman" w:hAnsi="Times New Roman" w:eastAsiaTheme="minorHAnsi"/>
          <w:b/>
          <w:color w:val="0F243E" w:themeColor="text2" w:themeShade="80"/>
          <w:sz w:val="32"/>
          <w:szCs w:val="32"/>
          <w:lang w:eastAsia="en-US"/>
        </w:rPr>
        <w:t xml:space="preserve"> </w:t>
      </w:r>
    </w:p>
    <w:p>
      <w:pPr>
        <w:pStyle w:val="ConsPlusNormal"/>
        <w:ind w:firstLine="540"/>
        <w:jc w:val="center"/>
        <w:rPr>
          <w:rFonts w:ascii="Times New Roman" w:hAnsi="Times New Roman" w:eastAsia="Calibri" w:cs="Times New Roman" w:eastAsiaTheme="minorHAnsi"/>
          <w:b/>
          <w:b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i/>
          <w:sz w:val="32"/>
          <w:szCs w:val="3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Максимально-допустимая доля расходов</w:t>
      </w:r>
      <w:r>
        <w:rPr>
          <w:rFonts w:ascii="Times New Roman" w:hAnsi="Times New Roman"/>
          <w:sz w:val="21"/>
          <w:szCs w:val="21"/>
        </w:rPr>
        <w:t xml:space="preserve"> граждан на оплату жилого помещения и коммунальных услуг в совокупном доходе семьи устанавливается в размере</w:t>
      </w:r>
      <w:r>
        <w:rPr>
          <w:rFonts w:ascii="Times New Roman" w:hAnsi="Times New Roman"/>
          <w:b/>
          <w:sz w:val="21"/>
          <w:szCs w:val="21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color w:val="632423" w:themeColor="accent2" w:themeShade="80"/>
          <w:sz w:val="21"/>
          <w:szCs w:val="21"/>
        </w:rPr>
        <w:t xml:space="preserve">12 процентов </w:t>
      </w:r>
      <w:r>
        <w:rPr>
          <w:rFonts w:ascii="Times New Roman" w:hAnsi="Times New Roman"/>
          <w:b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>для одиноко проживающих граждан и семей, которые имеют среднедушевой доход ниже величины прожиточного минимума, установленного в Свердловской области</w:t>
      </w:r>
      <w:r>
        <w:rPr>
          <w:rFonts w:ascii="Times New Roman" w:hAnsi="Times New Roman"/>
          <w:b/>
          <w:sz w:val="21"/>
          <w:szCs w:val="21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240" w:before="0" w:after="0"/>
        <w:ind w:left="426" w:hanging="426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color w:val="632423" w:themeColor="accent2" w:themeShade="80"/>
          <w:sz w:val="21"/>
          <w:szCs w:val="21"/>
        </w:rPr>
        <w:t xml:space="preserve">22 процента </w:t>
      </w:r>
      <w:r>
        <w:rPr>
          <w:rFonts w:ascii="Times New Roman" w:hAnsi="Times New Roman"/>
          <w:b/>
          <w:sz w:val="21"/>
          <w:szCs w:val="21"/>
        </w:rPr>
        <w:t xml:space="preserve">– </w:t>
      </w:r>
      <w:r>
        <w:rPr>
          <w:rFonts w:ascii="Times New Roman" w:hAnsi="Times New Roman"/>
          <w:sz w:val="21"/>
          <w:szCs w:val="21"/>
        </w:rPr>
        <w:t>для иных одиноко проживающих граждан и семей, за исключением указанных в подпункте 1.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Для семей имеющих среднедушевой доход ниже прожиточного минимума  максимально-допустимая доля уменьшается в соответствии с поправочным коэффициентом равным отношению среднедушевого дохода семьи к прожиточному минимуму.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142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142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57785</wp:posOffset>
            </wp:positionH>
            <wp:positionV relativeFrom="paragraph">
              <wp:posOffset>20955</wp:posOffset>
            </wp:positionV>
            <wp:extent cx="926465" cy="92646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142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142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142" w:hanging="0"/>
        <w:jc w:val="center"/>
        <w:outlineLvl w:val="1"/>
        <w:rPr>
          <w:rFonts w:ascii="Times New Roman" w:hAnsi="Times New Roman"/>
          <w:color w:val="215868" w:themeColor="accent5" w:themeShade="80"/>
          <w:sz w:val="21"/>
          <w:szCs w:val="21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92D050">
              <w14:alpha w14:val="60000"/>
            </w14:srgbClr>
          </w14:shadow>
        </w:rPr>
      </w:pPr>
      <w:r>
        <w:rPr>
          <w:rFonts w:ascii="Times New Roman" w:hAnsi="Times New Roman"/>
          <w:b/>
          <w:color w:val="215868" w:themeColor="accent5" w:themeShade="80"/>
          <w:sz w:val="21"/>
          <w:szCs w:val="21"/>
          <w14:glow w14:rad="139700">
            <w14:schemeClr w14:val="accent3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92D050">
              <w14:alpha w14:val="60000"/>
            </w14:srgbClr>
          </w14:shadow>
        </w:rPr>
        <w:t>ВАЖНО: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284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В предоставлении субсидиий может быть отказано: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284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284" w:hanging="0"/>
        <w:jc w:val="center"/>
        <w:outlineLvl w:val="1"/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Style17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если есть задолженность по оплате жилищно -коммунальных услуг и такая задолженность </w:t>
      </w:r>
      <w:r>
        <w:rPr>
          <w:caps w:val="false"/>
          <w:smallCaps w:val="false"/>
          <w:color w:val="000000"/>
          <w:spacing w:val="0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образовалась за период не более чем три последних года и подтверждена вступившим в законную силу судебным актом.</w:t>
      </w:r>
    </w:p>
    <w:p>
      <w:pPr>
        <w:pStyle w:val="Style17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ПРАВИТЕЛЬСТВО СВЕРДЛОВСКОЙ ОБЛАСТИ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ПОСТАНОВЛЕНИЕ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от 8 сентября 2021 г. N 547-ПП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ОБ УСТАНОВЛЕНИИ ВЕЛИЧИНЫ ПРОЖИТОЧНОГО МИНИМУМА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В СВЕРДЛОВСКОЙ ОБЛАСТИ НА 2022 ГОД</w:t>
      </w:r>
    </w:p>
    <w:p>
      <w:pPr>
        <w:pStyle w:val="ConsPlusNormal"/>
        <w:ind w:left="0" w:right="0" w:hanging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ascii="Times New Roman" w:hAnsi="Times New Roman"/>
          <w:sz w:val="14"/>
          <w:szCs w:val="14"/>
        </w:rPr>
        <w:t xml:space="preserve">В соответствии с Федеральным </w:t>
      </w:r>
      <w:hyperlink r:id="rId4">
        <w:r>
          <w:rPr>
            <w:rFonts w:ascii="Times New Roman" w:hAnsi="Times New Roman"/>
            <w:color w:val="0000FF"/>
            <w:sz w:val="14"/>
            <w:szCs w:val="14"/>
          </w:rPr>
          <w:t>законом</w:t>
        </w:r>
      </w:hyperlink>
      <w:r>
        <w:rPr>
          <w:rFonts w:ascii="Times New Roman" w:hAnsi="Times New Roman"/>
          <w:sz w:val="14"/>
          <w:szCs w:val="14"/>
        </w:rPr>
        <w:t xml:space="preserve"> от 24 октября 1997 года N 134-ФЗ "О прожиточном минимуме в Российской Федерации" Правительство Свердловской области постановляет:</w:t>
      </w:r>
    </w:p>
    <w:p>
      <w:pPr>
        <w:pStyle w:val="ConsPlusNormal"/>
        <w:spacing w:before="160" w:after="0"/>
        <w:ind w:left="0" w:right="0" w:firstLine="54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1. Установить величину прожиточного минимума в Свердловской области на 2022 год:</w:t>
      </w:r>
    </w:p>
    <w:p>
      <w:pPr>
        <w:pStyle w:val="ConsPlusNormal"/>
        <w:spacing w:before="16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расчете на душу населения -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2274</w:t>
      </w:r>
      <w:r>
        <w:rPr>
          <w:rFonts w:ascii="Times New Roman" w:hAnsi="Times New Roman"/>
          <w:sz w:val="24"/>
          <w:szCs w:val="24"/>
        </w:rPr>
        <w:t xml:space="preserve"> рубля в месяц;</w:t>
      </w:r>
    </w:p>
    <w:p>
      <w:pPr>
        <w:pStyle w:val="ConsPlusNormal"/>
        <w:spacing w:before="16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для трудоспособного населения —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3 379</w:t>
      </w:r>
      <w:r>
        <w:rPr>
          <w:rFonts w:ascii="Times New Roman" w:hAnsi="Times New Roman"/>
          <w:sz w:val="24"/>
          <w:szCs w:val="24"/>
        </w:rPr>
        <w:t xml:space="preserve"> рублей в месяц;</w:t>
      </w:r>
    </w:p>
    <w:p>
      <w:pPr>
        <w:pStyle w:val="ConsPlusNormal"/>
        <w:spacing w:before="16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для пенсионеров — </w:t>
      </w:r>
      <w:r>
        <w:rPr>
          <w:rFonts w:ascii="Times New Roman" w:hAnsi="Times New Roman"/>
          <w:b/>
          <w:bCs/>
          <w:sz w:val="24"/>
          <w:szCs w:val="24"/>
        </w:rPr>
        <w:t>10 556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в месяц;</w:t>
      </w:r>
    </w:p>
    <w:p>
      <w:pPr>
        <w:pStyle w:val="ConsPlusNormal"/>
        <w:spacing w:before="16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—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>
        <w:rPr>
          <w:rFonts w:ascii="Times New Roman" w:hAnsi="Times New Roman"/>
          <w:b/>
          <w:bCs/>
          <w:sz w:val="24"/>
          <w:szCs w:val="24"/>
        </w:rPr>
        <w:t>869</w:t>
      </w:r>
      <w:r>
        <w:rPr>
          <w:rFonts w:ascii="Times New Roman" w:hAnsi="Times New Roman"/>
          <w:sz w:val="24"/>
          <w:szCs w:val="24"/>
        </w:rPr>
        <w:t xml:space="preserve"> рублей в месяц.</w:t>
      </w:r>
    </w:p>
    <w:p>
      <w:pPr>
        <w:pStyle w:val="ConsPlusNormal"/>
        <w:spacing w:before="160" w:after="0"/>
        <w:ind w:left="0" w:right="0" w:firstLine="54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2. Контроль за исполнением настоящего Постановления возложить на Первого Заместителя Губернатора Свердловской области А.Г. Высокинского.</w:t>
      </w:r>
    </w:p>
    <w:p>
      <w:pPr>
        <w:pStyle w:val="ConsPlusNormal"/>
        <w:spacing w:before="160" w:after="0"/>
        <w:ind w:left="0" w:right="0" w:firstLine="54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3. Настоящее Постановление опубликовать в "Областной газете".</w:t>
      </w:r>
    </w:p>
    <w:p>
      <w:pPr>
        <w:pStyle w:val="ConsPlusNormal"/>
        <w:ind w:left="0" w:right="0" w:hanging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ConsPlusNormal"/>
        <w:ind w:left="0" w:right="0" w:hanging="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Губернатор</w:t>
      </w:r>
    </w:p>
    <w:p>
      <w:pPr>
        <w:pStyle w:val="ConsPlusNormal"/>
        <w:ind w:left="0" w:right="0" w:hanging="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Свердловской области</w:t>
      </w:r>
    </w:p>
    <w:p>
      <w:pPr>
        <w:pStyle w:val="ConsPlusNormal"/>
        <w:ind w:left="0" w:right="0" w:hanging="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Е.В.КУЙВАШЕВ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14"/>
          <w:szCs w:val="1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/>
          <w:b/>
          <w:bCs/>
          <w:iCs/>
          <w:color w:val="0F243E" w:themeColor="text2" w:themeShade="80"/>
          <w:sz w:val="21"/>
          <w:szCs w:val="21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F243E" w:themeColor="text2" w:themeShade="80"/>
          <w:sz w:val="18"/>
          <w:szCs w:val="18"/>
        </w:rPr>
      </w:pPr>
      <w:r>
        <w:rPr>
          <w:rFonts w:ascii="Times New Roman" w:hAnsi="Times New Roman"/>
          <w:color w:val="0F243E" w:themeColor="text2" w:themeShade="80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F243E" w:themeColor="text2" w:themeShade="80"/>
          <w:sz w:val="18"/>
          <w:szCs w:val="18"/>
        </w:rPr>
      </w:pPr>
      <w:r>
        <w:rPr>
          <w:rFonts w:ascii="Times New Roman" w:hAnsi="Times New Roman"/>
          <w:color w:val="0F243E" w:themeColor="text2" w:themeShade="80"/>
          <w:sz w:val="18"/>
          <w:szCs w:val="18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125730</wp:posOffset>
            </wp:positionH>
            <wp:positionV relativeFrom="paragraph">
              <wp:posOffset>-126365</wp:posOffset>
            </wp:positionV>
            <wp:extent cx="2858770" cy="1860550"/>
            <wp:effectExtent l="0" t="0" r="0" b="0"/>
            <wp:wrapNone/>
            <wp:docPr id="2" name="Рисунок 7" descr="C:\Users\Lokalova\Desktop\Лена\картинки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C:\Users\Lokalova\Desktop\Лена\картинки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/>
          <w:color w:val="0F243E" w:themeColor="text2" w:themeShade="80"/>
          <w:sz w:val="18"/>
          <w:szCs w:val="18"/>
        </w:rPr>
      </w:pPr>
      <w:r>
        <w:rPr>
          <w:rFonts w:ascii="Times New Roman" w:hAnsi="Times New Roman"/>
          <w:color w:val="0F243E" w:themeColor="text2" w:themeShade="8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40"/>
          <w:szCs w:val="36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40"/>
          <w:szCs w:val="3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40"/>
          <w:szCs w:val="36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40"/>
          <w:szCs w:val="36"/>
          <w:lang w:eastAsia="ru-RU"/>
        </w:rPr>
        <w:t>Наши контакты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6"/>
          <w:szCs w:val="36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6"/>
          <w:szCs w:val="36"/>
          <w:lang w:eastAsia="ru-RU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32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28"/>
          <w:lang w:eastAsia="ru-RU"/>
        </w:rPr>
        <w:t>Местонахождение: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ru-RU"/>
        </w:rPr>
        <w:t>623380, Свердловская область, г. Полевской, ул. Свердлова, 16, кабинет № 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284"/>
        <w:jc w:val="center"/>
        <w:rPr>
          <w:rFonts w:ascii="Times New Roman" w:hAnsi="Times New Roman" w:eastAsia="Times New Roman"/>
          <w:b/>
          <w:b/>
          <w:color w:val="000000" w:themeColor="text1"/>
          <w:sz w:val="32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28"/>
          <w:lang w:eastAsia="ru-RU"/>
        </w:rPr>
        <w:t>График приема: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Понедельник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– с 8.00 - 18.00</w:t>
      </w:r>
    </w:p>
    <w:p>
      <w:pPr>
        <w:pStyle w:val="Normal"/>
        <w:spacing w:lineRule="auto" w:line="240" w:before="0" w:after="0"/>
        <w:ind w:left="-567" w:hanging="142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</w:p>
    <w:p>
      <w:pPr>
        <w:pStyle w:val="Normal"/>
        <w:spacing w:lineRule="auto" w:line="240" w:before="0" w:after="0"/>
        <w:ind w:left="993" w:firstLine="283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  <w:t>Обед с 12.00 – 13.00</w:t>
      </w:r>
    </w:p>
    <w:p>
      <w:pPr>
        <w:pStyle w:val="Normal"/>
        <w:spacing w:lineRule="auto" w:line="240" w:before="0" w:after="0"/>
        <w:ind w:left="993" w:firstLine="283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C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C00000"/>
          <w:sz w:val="24"/>
          <w:szCs w:val="24"/>
          <w:lang w:eastAsia="ru-RU"/>
        </w:rPr>
        <w:t>С 25 числа до конца месяца служба жилищных субсидий закрыта на расчеты.</w:t>
      </w:r>
    </w:p>
    <w:p>
      <w:pPr>
        <w:pStyle w:val="Normal"/>
        <w:spacing w:lineRule="auto" w:line="240" w:before="0" w:after="0"/>
        <w:ind w:left="993" w:firstLine="425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32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28"/>
          <w:lang w:eastAsia="ru-RU"/>
        </w:rPr>
        <w:t>Получить необходимую консультацию Вы можете по телефону: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1418" w:hanging="0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ru-RU"/>
        </w:rPr>
        <w:t>8 (34350) 4-04-43</w:t>
      </w:r>
    </w:p>
    <w:p>
      <w:pPr>
        <w:pStyle w:val="Normal"/>
        <w:spacing w:lineRule="auto" w:line="240" w:before="0" w:after="0"/>
        <w:ind w:left="993" w:firstLine="425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left="426" w:hanging="142"/>
        <w:jc w:val="center"/>
        <w:rPr>
          <w:rFonts w:ascii="Times New Roman" w:hAnsi="Times New Roman" w:eastAsia="Times New Roman"/>
          <w:b/>
          <w:b/>
          <w:color w:val="000000" w:themeColor="text1"/>
          <w:sz w:val="32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28"/>
          <w:lang w:eastAsia="ru-RU"/>
        </w:rPr>
        <w:t>Официальный сайт:</w:t>
      </w:r>
    </w:p>
    <w:p>
      <w:pPr>
        <w:pStyle w:val="Normal"/>
        <w:spacing w:lineRule="auto" w:line="240" w:before="0" w:after="0"/>
        <w:ind w:left="993" w:firstLine="283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hyperlink r:id="rId6">
        <w:r>
          <w:rPr>
            <w:rFonts w:eastAsia="Times New Roman" w:ascii="Times New Roman" w:hAnsi="Times New Roman"/>
            <w:b/>
            <w:sz w:val="24"/>
            <w:szCs w:val="24"/>
            <w:lang w:val="en-US" w:eastAsia="ru-RU"/>
          </w:rPr>
          <w:t>http</w:t>
        </w:r>
        <w:r>
          <w:rPr>
            <w:rFonts w:eastAsia="Times New Roman" w:ascii="Times New Roman" w:hAnsi="Times New Roman"/>
            <w:b/>
            <w:sz w:val="24"/>
            <w:szCs w:val="24"/>
            <w:lang w:eastAsia="ru-RU"/>
          </w:rPr>
          <w:t>://</w:t>
        </w:r>
        <w:r>
          <w:rPr>
            <w:rFonts w:eastAsia="Times New Roman" w:ascii="Times New Roman" w:hAnsi="Times New Roman"/>
            <w:b/>
            <w:sz w:val="24"/>
            <w:szCs w:val="24"/>
            <w:lang w:val="en-US" w:eastAsia="ru-RU"/>
          </w:rPr>
          <w:t>polevsk</w:t>
        </w:r>
        <w:r>
          <w:rPr>
            <w:rFonts w:eastAsia="Times New Roman" w:ascii="Times New Roman" w:hAnsi="Times New Roman"/>
            <w:b/>
            <w:sz w:val="24"/>
            <w:szCs w:val="24"/>
            <w:lang w:eastAsia="ru-RU"/>
          </w:rPr>
          <w:t>.</w:t>
        </w:r>
        <w:r>
          <w:rPr>
            <w:rFonts w:eastAsia="Times New Roman" w:ascii="Times New Roman" w:hAnsi="Times New Roman"/>
            <w:b/>
            <w:sz w:val="24"/>
            <w:szCs w:val="24"/>
            <w:lang w:val="en-US" w:eastAsia="ru-RU"/>
          </w:rPr>
          <w:t>midural</w:t>
        </w:r>
        <w:r>
          <w:rPr>
            <w:rFonts w:eastAsia="Times New Roman" w:ascii="Times New Roman" w:hAnsi="Times New Roman"/>
            <w:b/>
            <w:sz w:val="24"/>
            <w:szCs w:val="24"/>
            <w:lang w:eastAsia="ru-RU"/>
          </w:rPr>
          <w:t>.</w:t>
        </w:r>
        <w:r>
          <w:rPr>
            <w:rFonts w:eastAsia="Times New Roman" w:ascii="Times New Roman" w:hAnsi="Times New Roman"/>
            <w:b/>
            <w:sz w:val="24"/>
            <w:szCs w:val="24"/>
            <w:lang w:val="en-US" w:eastAsia="ru-RU"/>
          </w:rPr>
          <w:t>ru</w:t>
        </w:r>
      </w:hyperlink>
    </w:p>
    <w:p>
      <w:pPr>
        <w:pStyle w:val="Normal"/>
        <w:spacing w:lineRule="auto" w:line="240" w:before="0" w:after="0"/>
        <w:ind w:left="993" w:firstLine="425"/>
        <w:rPr>
          <w:rFonts w:ascii="Times New Roman" w:hAnsi="Times New Roman" w:eastAsia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276"/>
        <w:rPr>
          <w:rFonts w:ascii="Times New Roman" w:hAnsi="Times New Roman" w:eastAsia="Times New Roman"/>
          <w:b/>
          <w:b/>
          <w:color w:val="000000" w:themeColor="text1"/>
          <w:sz w:val="32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FF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b/>
          <w:color w:val="0000FF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Cs/>
          <w:color w:val="000000" w:themeColor="text1"/>
          <w:sz w:val="36"/>
          <w:szCs w:val="36"/>
          <w:lang w:eastAsia="ru-RU"/>
        </w:rPr>
      </w:pPr>
      <w:r>
        <w:rPr>
          <w:rFonts w:eastAsia="Times New Roman" w:ascii="Times New Roman" w:hAnsi="Times New Roman"/>
          <w:b/>
          <w:bCs/>
          <w:iCs/>
          <w:color w:val="000000" w:themeColor="text1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Cs/>
          <w:color w:val="000000" w:themeColor="text1"/>
          <w:sz w:val="36"/>
          <w:szCs w:val="36"/>
          <w:lang w:eastAsia="ru-RU"/>
        </w:rPr>
      </w:pPr>
      <w:r>
        <w:rPr>
          <w:rFonts w:eastAsia="Times New Roman" w:ascii="Times New Roman" w:hAnsi="Times New Roman"/>
          <w:b/>
          <w:bCs/>
          <w:iCs/>
          <w:color w:val="000000" w:themeColor="text1"/>
          <w:sz w:val="36"/>
          <w:szCs w:val="36"/>
          <w:lang w:eastAsia="ru-RU"/>
        </w:rPr>
        <w:t>МКУ «Центр социально-коммунальных услуг ПГО»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Cs/>
          <w:color w:val="000000" w:themeColor="text1"/>
          <w:sz w:val="36"/>
          <w:szCs w:val="36"/>
          <w:lang w:eastAsia="ru-RU"/>
        </w:rPr>
      </w:pPr>
      <w:r>
        <w:rPr>
          <w:rFonts w:eastAsia="Times New Roman" w:ascii="Times New Roman" w:hAnsi="Times New Roman"/>
          <w:b/>
          <w:bCs/>
          <w:iCs/>
          <w:color w:val="000000" w:themeColor="text1"/>
          <w:sz w:val="36"/>
          <w:szCs w:val="36"/>
          <w:lang w:eastAsia="ru-RU"/>
        </w:rPr>
        <w:t>(служба субсидий)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28"/>
          <w:szCs w:val="28"/>
          <w:lang w:eastAsia="ru-RU"/>
        </w:rPr>
        <w:t>Предоставление субсидий на оплату жилья и коммунальных услуг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-143510</wp:posOffset>
            </wp:positionH>
            <wp:positionV relativeFrom="paragraph">
              <wp:posOffset>80010</wp:posOffset>
            </wp:positionV>
            <wp:extent cx="3161665" cy="2110740"/>
            <wp:effectExtent l="0" t="0" r="0" b="0"/>
            <wp:wrapNone/>
            <wp:docPr id="3" name="Рисунок 6" descr="C:\Users\Lokalova\Desktop\Лена\картинки\249854646_02052424_23122011_10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Lokalova\Desktop\Лена\картинки\249854646_02052424_23122011_1048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981325" cy="2524125"/>
            <wp:effectExtent l="0" t="0" r="0" b="0"/>
            <wp:wrapNone/>
            <wp:docPr id="4" name="Рисунок 3" descr="C:\Users\Lokalova\Desktop\Лена\картинки\Herramienta-Financiera-para-Reducir-su-Crédito-Hipotec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Lokalova\Desktop\Лена\картинки\Herramienta-Financiera-para-Reducir-su-Crédito-Hipotecari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0" w:themeColor="text1"/>
          <w:sz w:val="32"/>
          <w:szCs w:val="32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1BCFAEB">
                <wp:simplePos x="0" y="0"/>
                <wp:positionH relativeFrom="column">
                  <wp:posOffset>3254375</wp:posOffset>
                </wp:positionH>
                <wp:positionV relativeFrom="paragraph">
                  <wp:posOffset>-116840</wp:posOffset>
                </wp:positionV>
                <wp:extent cx="92710" cy="3856355"/>
                <wp:effectExtent l="0" t="0" r="31750" b="20955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7764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25pt,-9.2pt" to="262.8pt,602.15pt" ID="Прямая соединительная линия 2" stroked="t" style="position:absolute" wp14:anchorId="01BCFAEB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54A6992F">
                <wp:simplePos x="0" y="0"/>
                <wp:positionH relativeFrom="column">
                  <wp:posOffset>3291205</wp:posOffset>
                </wp:positionH>
                <wp:positionV relativeFrom="paragraph">
                  <wp:posOffset>-116840</wp:posOffset>
                </wp:positionV>
                <wp:extent cx="80645" cy="8019415"/>
                <wp:effectExtent l="0" t="0" r="31115" b="27940"/>
                <wp:wrapNone/>
                <wp:docPr id="6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0" cy="5827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15pt,-9.2pt" to="266.85pt,449.6pt" ID="Прямая соединительная линия 5" stroked="t" style="position:absolute" wp14:anchorId="54A6992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  <w:t>202</w:t>
      </w:r>
      <w:bookmarkStart w:id="0" w:name="_GoBack"/>
      <w:bookmarkEnd w:id="0"/>
      <w:r>
        <w:rPr>
          <w:rFonts w:eastAsia="Times New Roman" w:ascii="Times New Roman" w:hAnsi="Times New Roman"/>
          <w:b/>
          <w:color w:val="000000" w:themeColor="text1"/>
          <w:sz w:val="32"/>
          <w:szCs w:val="32"/>
          <w:lang w:eastAsia="ru-RU"/>
        </w:rPr>
        <w:t>2 год</w:t>
      </w:r>
    </w:p>
    <w:sectPr>
      <w:type w:val="continuous"/>
      <w:pgSz w:orient="landscape" w:w="16838" w:h="11906"/>
      <w:pgMar w:left="314" w:right="244" w:header="0" w:top="238" w:footer="0" w:bottom="244" w:gutter="0"/>
      <w:cols w:num="3" w:equalWidth="false" w:sep="true">
        <w:col w:w="4996" w:space="556"/>
        <w:col w:w="5085" w:space="558"/>
        <w:col w:w="5083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c721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c56ce1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227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c72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76bb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23b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fc66/ru/" TargetMode="External"/><Relationship Id="rId3" Type="http://schemas.openxmlformats.org/officeDocument/2006/relationships/image" Target="media/image1.png"/><Relationship Id="rId4" Type="http://schemas.openxmlformats.org/officeDocument/2006/relationships/hyperlink" Target="consultantplus://offline/ref=62256F6E145A1FDFDAD09409E6E84ED183C4DCE85708A1C336798170DA80D66834A498FC145EDAFA9A45B26BBB439038B20FD860A0CC5581CDU5G" TargetMode="External"/><Relationship Id="rId5" Type="http://schemas.openxmlformats.org/officeDocument/2006/relationships/image" Target="media/image2.png"/><Relationship Id="rId6" Type="http://schemas.openxmlformats.org/officeDocument/2006/relationships/hyperlink" Target="http://polevsk.midural.ru/" TargetMode="Externa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C53D-2B76-4118-AD27-A44B0541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LibreOffice/7.1.1.2$Windows_X86_64 LibreOffice_project/fe0b08f4af1bacafe4c7ecc87ce55bb426164676</Application>
  <AppVersion>15.0000</AppVersion>
  <Pages>2</Pages>
  <Words>612</Words>
  <Characters>4063</Characters>
  <CharactersWithSpaces>4680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2020-07-20T05:28:00Z</dcterms:created>
  <dc:creator>Цицилина Евгения</dc:creator>
  <dc:description/>
  <dc:language>ru-RU</dc:language>
  <cp:lastModifiedBy/>
  <cp:lastPrinted>2022-04-05T10:19:39Z</cp:lastPrinted>
  <dcterms:modified xsi:type="dcterms:W3CDTF">2022-04-05T10:19:43Z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